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27055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July 28, 1921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0D5DB8">
        <w:rPr>
          <w:rFonts w:asciiTheme="minorHAnsi" w:hAnsiTheme="minorHAnsi"/>
        </w:rPr>
        <w:t>July 28, 1921, 35th day of the First Extra Session of the 51st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0D5DB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Thursday</w:t>
      </w:r>
      <w:r w:rsidR="00FE32A0" w:rsidRPr="00B6707F">
        <w:rPr>
          <w:rFonts w:asciiTheme="minorHAnsi" w:hAnsiTheme="minorHAnsi"/>
        </w:rPr>
        <w:t>.</w:t>
      </w:r>
    </w:p>
    <w:p w:rsidR="000D5DB8" w:rsidRDefault="000D5DB8" w:rsidP="00456E6C">
      <w:pPr>
        <w:jc w:val="both"/>
        <w:rPr>
          <w:rFonts w:asciiTheme="minorHAnsi" w:hAnsiTheme="minorHAnsi"/>
        </w:rPr>
      </w:pPr>
    </w:p>
    <w:p w:rsidR="000D5DB8" w:rsidRDefault="000D5DB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day opened with news a Senate joint and concurrent resolution from the regular session had an error in it, which meant it could be furthered to the secretary of state’s office to place on a future ballot. A new joint and concurrent resolution would be forthcoming that would correct the error.</w:t>
      </w:r>
    </w:p>
    <w:p w:rsidR="000D5DB8" w:rsidRDefault="000D5DB8" w:rsidP="00456E6C">
      <w:pPr>
        <w:jc w:val="both"/>
        <w:rPr>
          <w:rFonts w:asciiTheme="minorHAnsi" w:hAnsiTheme="minorHAnsi"/>
        </w:rPr>
      </w:pPr>
    </w:p>
    <w:p w:rsidR="000D5DB8" w:rsidRPr="00B6707F" w:rsidRDefault="000D5DB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rest of the day was spent on legislation that directly related to the extra session, until senators moved to adjourn, under the rules.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0D5DB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July 28, 1921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35th day of the First Extra Session of the 51st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0D5DB8" w:rsidRDefault="000D5DB8" w:rsidP="00456E6C">
      <w:pPr>
        <w:jc w:val="both"/>
        <w:rPr>
          <w:rFonts w:ascii="Calibri" w:hAnsi="Calibri"/>
        </w:rPr>
      </w:pPr>
    </w:p>
    <w:p w:rsidR="000D5DB8" w:rsidRDefault="000D5DB8" w:rsidP="00456E6C">
      <w:pPr>
        <w:jc w:val="both"/>
        <w:rPr>
          <w:rFonts w:ascii="Calibri" w:hAnsi="Calibri"/>
        </w:rPr>
      </w:pPr>
    </w:p>
    <w:p w:rsidR="000D5DB8" w:rsidRDefault="000D5DB8" w:rsidP="00456E6C">
      <w:pPr>
        <w:jc w:val="both"/>
        <w:rPr>
          <w:rFonts w:ascii="Calibri" w:hAnsi="Calibri"/>
        </w:rPr>
      </w:pPr>
    </w:p>
    <w:p w:rsidR="000D5DB8" w:rsidRDefault="000D5DB8" w:rsidP="00456E6C">
      <w:pPr>
        <w:jc w:val="both"/>
        <w:rPr>
          <w:rFonts w:ascii="Calibri" w:hAnsi="Calibri"/>
        </w:rPr>
      </w:pPr>
    </w:p>
    <w:p w:rsidR="000D5DB8" w:rsidRDefault="000D5DB8" w:rsidP="00456E6C">
      <w:pPr>
        <w:jc w:val="both"/>
        <w:rPr>
          <w:rFonts w:ascii="Calibri" w:hAnsi="Calibri"/>
        </w:rPr>
      </w:pPr>
    </w:p>
    <w:p w:rsidR="000D5DB8" w:rsidRDefault="000D5DB8" w:rsidP="00456E6C">
      <w:pPr>
        <w:jc w:val="both"/>
        <w:rPr>
          <w:rFonts w:ascii="Calibri" w:hAnsi="Calibri"/>
        </w:rPr>
      </w:pPr>
    </w:p>
    <w:p w:rsidR="000D5DB8" w:rsidRDefault="000D5DB8" w:rsidP="00456E6C">
      <w:pPr>
        <w:jc w:val="both"/>
        <w:rPr>
          <w:rFonts w:ascii="Calibri" w:hAnsi="Calibri"/>
        </w:rPr>
      </w:pPr>
    </w:p>
    <w:p w:rsidR="000D5DB8" w:rsidRDefault="000D5DB8" w:rsidP="00456E6C">
      <w:pPr>
        <w:jc w:val="both"/>
        <w:rPr>
          <w:rFonts w:ascii="Calibri" w:hAnsi="Calibri"/>
        </w:rPr>
      </w:pPr>
    </w:p>
    <w:p w:rsidR="000D5DB8" w:rsidRDefault="000D5DB8" w:rsidP="00456E6C">
      <w:pPr>
        <w:jc w:val="both"/>
        <w:rPr>
          <w:rFonts w:ascii="Calibri" w:hAnsi="Calibri"/>
        </w:rPr>
      </w:pPr>
    </w:p>
    <w:p w:rsidR="000D5DB8" w:rsidRDefault="000D5DB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0D5DB8" w:rsidRPr="000D5DB8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D5DB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0D5DB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5DB8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55A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74E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dm16795.contentdm.oclc.org/digital/collection/senatej/id/72551/rec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2022-11-16T22:21:00Z</dcterms:created>
  <dcterms:modified xsi:type="dcterms:W3CDTF">2022-11-16T22:27:00Z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